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59D" w:rsidRPr="00E8759D" w:rsidRDefault="00E8759D" w:rsidP="00E8759D">
      <w:pPr>
        <w:spacing w:beforeLines="1" w:afterLines="1"/>
        <w:jc w:val="center"/>
        <w:outlineLvl w:val="0"/>
        <w:rPr>
          <w:rFonts w:ascii="Times" w:hAnsi="Times"/>
          <w:b/>
          <w:color w:val="000000"/>
          <w:kern w:val="36"/>
          <w:sz w:val="48"/>
          <w:szCs w:val="27"/>
        </w:rPr>
      </w:pPr>
      <w:r w:rsidRPr="00E8759D">
        <w:rPr>
          <w:rFonts w:ascii="Times" w:hAnsi="Times"/>
          <w:b/>
          <w:color w:val="000000"/>
          <w:kern w:val="36"/>
          <w:sz w:val="48"/>
          <w:szCs w:val="27"/>
        </w:rPr>
        <w:t xml:space="preserve">Babylonian Talmud: Tractate </w:t>
      </w:r>
      <w:proofErr w:type="spellStart"/>
      <w:r w:rsidRPr="00E8759D">
        <w:rPr>
          <w:rFonts w:ascii="Times" w:hAnsi="Times"/>
          <w:b/>
          <w:color w:val="000000"/>
          <w:kern w:val="36"/>
          <w:sz w:val="48"/>
          <w:szCs w:val="27"/>
        </w:rPr>
        <w:t>Berakoth</w:t>
      </w:r>
      <w:proofErr w:type="spellEnd"/>
    </w:p>
    <w:p w:rsidR="00E8759D" w:rsidRPr="00E8759D" w:rsidRDefault="00E8759D" w:rsidP="00E8759D">
      <w:pPr>
        <w:spacing w:beforeLines="1" w:afterLines="1"/>
        <w:jc w:val="center"/>
        <w:outlineLvl w:val="2"/>
        <w:rPr>
          <w:rFonts w:ascii="Times" w:hAnsi="Times"/>
          <w:b/>
          <w:color w:val="000000"/>
          <w:sz w:val="27"/>
          <w:szCs w:val="20"/>
        </w:rPr>
      </w:pPr>
      <w:bookmarkStart w:id="0" w:name="35a"/>
      <w:r w:rsidRPr="00E8759D">
        <w:rPr>
          <w:rFonts w:ascii="Times" w:hAnsi="Times"/>
          <w:b/>
          <w:color w:val="000000"/>
          <w:sz w:val="27"/>
          <w:szCs w:val="20"/>
        </w:rPr>
        <w:t>Folio 35a</w:t>
      </w:r>
      <w:bookmarkEnd w:id="0"/>
    </w:p>
    <w:p w:rsidR="00E8759D" w:rsidRPr="00E8759D" w:rsidRDefault="00E8759D" w:rsidP="00E8759D">
      <w:pPr>
        <w:spacing w:beforeLines="1" w:afterLines="1"/>
        <w:jc w:val="center"/>
        <w:outlineLvl w:val="1"/>
        <w:rPr>
          <w:rFonts w:ascii="Times" w:hAnsi="Times"/>
          <w:b/>
          <w:color w:val="000000"/>
          <w:sz w:val="36"/>
          <w:szCs w:val="20"/>
        </w:rPr>
      </w:pPr>
      <w:bookmarkStart w:id="1" w:name="chapter_vi"/>
      <w:r w:rsidRPr="00E8759D">
        <w:rPr>
          <w:rFonts w:ascii="Times" w:hAnsi="Times"/>
          <w:b/>
          <w:color w:val="000000"/>
          <w:sz w:val="36"/>
          <w:szCs w:val="20"/>
        </w:rPr>
        <w:t>CHAPTER VI</w:t>
      </w:r>
      <w:bookmarkEnd w:id="1"/>
    </w:p>
    <w:p w:rsidR="00E8759D" w:rsidRPr="00E8759D" w:rsidRDefault="00E8759D" w:rsidP="00E8759D">
      <w:pPr>
        <w:rPr>
          <w:rFonts w:ascii="Times" w:hAnsi="Times" w:cs="Times New Roman"/>
          <w:color w:val="000000"/>
          <w:sz w:val="27"/>
          <w:szCs w:val="27"/>
        </w:rPr>
      </w:pPr>
      <w:r w:rsidRPr="00E8759D">
        <w:rPr>
          <w:rFonts w:ascii="Times" w:hAnsi="Times" w:cs="Times New Roman"/>
          <w:b/>
          <w:i/>
          <w:color w:val="000000"/>
          <w:sz w:val="27"/>
          <w:szCs w:val="27"/>
        </w:rPr>
        <w:t>MISHNAH</w:t>
      </w:r>
      <w:r w:rsidRPr="00E8759D">
        <w:rPr>
          <w:rFonts w:ascii="Times" w:hAnsi="Times" w:cs="Times New Roman"/>
          <w:color w:val="000000"/>
          <w:sz w:val="27"/>
          <w:szCs w:val="27"/>
        </w:rPr>
        <w:t>. WHAT BLESSINGS ARE SAID OVER FRUIT? OVER FRUIT OF THE TREE ONE SAYS, WHO CREATEST THE FRUIT OF THE TREE, EXCEPT FOR WINE, OVER WHICH ONE SAYS, WHO CREATEST THE FRUIT OF THE VINE. OVER THAT WHICH GROWS FROM THE GROUND ONE SAYS: WHO CREATEST THE FRUIT OF THE GROUND, EXCEPT OVER BREAD, FOR WHICH ONE SAYS, WHO BRINGEST FORTH BREAD FROM THE EARTH. OVER VEGETABLES ONE SAYS, WHO CREATEST THE FRUIT OF THE GROUND; R. JUDAH, HOWEVER, SAYS: WHO CREATEST DIVERS KINDS OF HERBS.</w:t>
      </w:r>
    </w:p>
    <w:p w:rsidR="00E8759D" w:rsidRPr="00E8759D" w:rsidRDefault="00E8759D" w:rsidP="00E8759D">
      <w:pPr>
        <w:rPr>
          <w:rFonts w:ascii="Times" w:hAnsi="Times" w:cs="Times New Roman"/>
          <w:color w:val="000000"/>
          <w:sz w:val="27"/>
          <w:szCs w:val="27"/>
        </w:rPr>
      </w:pPr>
      <w:r w:rsidRPr="00E8759D">
        <w:rPr>
          <w:rFonts w:ascii="Times" w:hAnsi="Times" w:cs="Times New Roman"/>
          <w:b/>
          <w:i/>
          <w:color w:val="000000"/>
          <w:sz w:val="27"/>
          <w:szCs w:val="27"/>
        </w:rPr>
        <w:t>GEMARA</w:t>
      </w:r>
      <w:r w:rsidRPr="00E8759D">
        <w:rPr>
          <w:rFonts w:ascii="Times" w:hAnsi="Times" w:cs="Times New Roman"/>
          <w:color w:val="000000"/>
          <w:sz w:val="27"/>
          <w:szCs w:val="27"/>
        </w:rPr>
        <w:t>. Whence is this derived?</w:t>
      </w:r>
      <w:hyperlink r:id="rId4" w:anchor="35a_1" w:history="1">
        <w:r w:rsidRPr="00E8759D">
          <w:rPr>
            <w:rFonts w:ascii="Times" w:hAnsi="Times" w:cs="Times New Roman"/>
            <w:color w:val="0000FF"/>
            <w:sz w:val="15"/>
            <w:u w:val="single"/>
            <w:vertAlign w:val="superscript"/>
          </w:rPr>
          <w:t>1</w:t>
        </w:r>
      </w:hyperlink>
      <w:r w:rsidRPr="00E8759D">
        <w:rPr>
          <w:rFonts w:ascii="Times" w:hAnsi="Times" w:cs="Times New Roman"/>
          <w:color w:val="000000"/>
          <w:sz w:val="27"/>
          <w:szCs w:val="27"/>
        </w:rPr>
        <w:t>  — As our Rabbis have taught: The fruit thereof shall be holy, for giving praise unto the Lord.</w:t>
      </w:r>
      <w:hyperlink r:id="rId5" w:anchor="35a_2" w:history="1">
        <w:r w:rsidRPr="00E8759D">
          <w:rPr>
            <w:rFonts w:ascii="Times" w:hAnsi="Times" w:cs="Times New Roman"/>
            <w:color w:val="0000FF"/>
            <w:sz w:val="15"/>
            <w:u w:val="single"/>
            <w:vertAlign w:val="superscript"/>
          </w:rPr>
          <w:t>2</w:t>
        </w:r>
      </w:hyperlink>
      <w:proofErr w:type="gramStart"/>
      <w:r w:rsidRPr="00E8759D">
        <w:rPr>
          <w:rFonts w:ascii="Times" w:hAnsi="Times" w:cs="Times New Roman"/>
          <w:color w:val="000000"/>
          <w:sz w:val="27"/>
          <w:szCs w:val="27"/>
        </w:rPr>
        <w:t>  This</w:t>
      </w:r>
      <w:proofErr w:type="gramEnd"/>
      <w:r w:rsidRPr="00E8759D">
        <w:rPr>
          <w:rFonts w:ascii="Times" w:hAnsi="Times" w:cs="Times New Roman"/>
          <w:color w:val="000000"/>
          <w:sz w:val="27"/>
          <w:szCs w:val="27"/>
        </w:rPr>
        <w:fldChar w:fldCharType="begin"/>
      </w:r>
      <w:r w:rsidRPr="00E8759D">
        <w:rPr>
          <w:rFonts w:ascii="Times" w:hAnsi="Times" w:cs="Times New Roman"/>
          <w:color w:val="000000"/>
          <w:sz w:val="27"/>
          <w:szCs w:val="27"/>
        </w:rPr>
        <w:instrText xml:space="preserve"> HYPERLINK "https://halakhah.com/berakoth/berakoth_35.html" \l "35a_3" </w:instrText>
      </w:r>
      <w:r w:rsidRPr="00E8759D">
        <w:rPr>
          <w:rFonts w:ascii="Times" w:hAnsi="Times" w:cs="Times New Roman"/>
          <w:color w:val="000000"/>
          <w:sz w:val="27"/>
          <w:szCs w:val="27"/>
        </w:rPr>
      </w:r>
      <w:r w:rsidRPr="00E8759D">
        <w:rPr>
          <w:rFonts w:ascii="Times" w:hAnsi="Times" w:cs="Times New Roman"/>
          <w:color w:val="000000"/>
          <w:sz w:val="27"/>
          <w:szCs w:val="27"/>
        </w:rPr>
        <w:fldChar w:fldCharType="separate"/>
      </w:r>
      <w:r w:rsidRPr="00E8759D">
        <w:rPr>
          <w:rFonts w:ascii="Times" w:hAnsi="Times" w:cs="Times New Roman"/>
          <w:color w:val="0000FF"/>
          <w:sz w:val="15"/>
          <w:u w:val="single"/>
          <w:vertAlign w:val="superscript"/>
        </w:rPr>
        <w:t>3</w:t>
      </w:r>
      <w:r w:rsidRPr="00E8759D">
        <w:rPr>
          <w:rFonts w:ascii="Times" w:hAnsi="Times" w:cs="Times New Roman"/>
          <w:color w:val="000000"/>
          <w:sz w:val="27"/>
          <w:szCs w:val="27"/>
        </w:rPr>
        <w:fldChar w:fldCharType="end"/>
      </w:r>
      <w:r w:rsidRPr="00E8759D">
        <w:rPr>
          <w:rFonts w:ascii="Times" w:hAnsi="Times" w:cs="Times New Roman"/>
          <w:color w:val="000000"/>
          <w:sz w:val="27"/>
          <w:szCs w:val="27"/>
        </w:rPr>
        <w:t>  teaches that they require a blessing both before and after partaking of them. On the strength of this R. Akiba said: A man is forbidden to taste anything before saying a blessing over it.</w:t>
      </w:r>
    </w:p>
    <w:p w:rsidR="00E8759D" w:rsidRPr="00E8759D" w:rsidRDefault="00E8759D" w:rsidP="00E8759D">
      <w:pPr>
        <w:rPr>
          <w:rFonts w:ascii="Times" w:hAnsi="Times" w:cs="Times New Roman"/>
          <w:color w:val="000000"/>
          <w:sz w:val="27"/>
          <w:szCs w:val="27"/>
        </w:rPr>
      </w:pPr>
      <w:r w:rsidRPr="00E8759D">
        <w:rPr>
          <w:rFonts w:ascii="Times" w:hAnsi="Times" w:cs="Times New Roman"/>
          <w:color w:val="000000"/>
          <w:sz w:val="27"/>
          <w:szCs w:val="27"/>
        </w:rPr>
        <w:t>But is this the lesson to be learnt from these words 'Holy for giving praise'? Surely they are required for these two lessons: first, to teach that the All-Merciful has declared: Redeem it</w:t>
      </w:r>
      <w:hyperlink r:id="rId6" w:anchor="35a_4" w:history="1">
        <w:r w:rsidRPr="00E8759D">
          <w:rPr>
            <w:rFonts w:ascii="Times" w:hAnsi="Times" w:cs="Times New Roman"/>
            <w:color w:val="0000FF"/>
            <w:sz w:val="15"/>
            <w:u w:val="single"/>
            <w:vertAlign w:val="superscript"/>
          </w:rPr>
          <w:t>4</w:t>
        </w:r>
      </w:hyperlink>
      <w:proofErr w:type="gramStart"/>
      <w:r w:rsidRPr="00E8759D">
        <w:rPr>
          <w:rFonts w:ascii="Times" w:hAnsi="Times" w:cs="Times New Roman"/>
          <w:color w:val="000000"/>
          <w:sz w:val="27"/>
          <w:szCs w:val="27"/>
        </w:rPr>
        <w:t>  and</w:t>
      </w:r>
      <w:proofErr w:type="gramEnd"/>
      <w:r w:rsidRPr="00E8759D">
        <w:rPr>
          <w:rFonts w:ascii="Times" w:hAnsi="Times" w:cs="Times New Roman"/>
          <w:color w:val="000000"/>
          <w:sz w:val="27"/>
          <w:szCs w:val="27"/>
        </w:rPr>
        <w:t xml:space="preserve"> then eat it, and secondly, that a thing which requires a song of praise requires redemption,</w:t>
      </w:r>
      <w:hyperlink r:id="rId7" w:anchor="35a_5" w:history="1">
        <w:r w:rsidRPr="00E8759D">
          <w:rPr>
            <w:rFonts w:ascii="Times" w:hAnsi="Times" w:cs="Times New Roman"/>
            <w:color w:val="0000FF"/>
            <w:sz w:val="15"/>
            <w:u w:val="single"/>
            <w:vertAlign w:val="superscript"/>
          </w:rPr>
          <w:t>5</w:t>
        </w:r>
      </w:hyperlink>
      <w:r w:rsidRPr="00E8759D">
        <w:rPr>
          <w:rFonts w:ascii="Times" w:hAnsi="Times" w:cs="Times New Roman"/>
          <w:color w:val="000000"/>
          <w:sz w:val="27"/>
          <w:szCs w:val="27"/>
        </w:rPr>
        <w:t>  but one that does not require a song of praise does not require redemption,</w:t>
      </w:r>
      <w:hyperlink r:id="rId8" w:anchor="35a_6" w:history="1">
        <w:r w:rsidRPr="00E8759D">
          <w:rPr>
            <w:rFonts w:ascii="Times" w:hAnsi="Times" w:cs="Times New Roman"/>
            <w:color w:val="0000FF"/>
            <w:sz w:val="15"/>
            <w:u w:val="single"/>
            <w:vertAlign w:val="superscript"/>
          </w:rPr>
          <w:t>6</w:t>
        </w:r>
      </w:hyperlink>
      <w:r w:rsidRPr="00E8759D">
        <w:rPr>
          <w:rFonts w:ascii="Times" w:hAnsi="Times" w:cs="Times New Roman"/>
          <w:color w:val="000000"/>
          <w:sz w:val="27"/>
          <w:szCs w:val="27"/>
        </w:rPr>
        <w:t xml:space="preserve">  as has been taught by R. Samuel b. </w:t>
      </w:r>
      <w:proofErr w:type="spellStart"/>
      <w:r w:rsidRPr="00E8759D">
        <w:rPr>
          <w:rFonts w:ascii="Times" w:hAnsi="Times" w:cs="Times New Roman"/>
          <w:color w:val="000000"/>
          <w:sz w:val="27"/>
          <w:szCs w:val="27"/>
        </w:rPr>
        <w:t>Nahmani</w:t>
      </w:r>
      <w:proofErr w:type="spellEnd"/>
      <w:r w:rsidRPr="00E8759D">
        <w:rPr>
          <w:rFonts w:ascii="Times" w:hAnsi="Times" w:cs="Times New Roman"/>
          <w:color w:val="000000"/>
          <w:sz w:val="27"/>
          <w:szCs w:val="27"/>
        </w:rPr>
        <w:t xml:space="preserve"> in the name of R. Jonathan. For R. Samuel b. </w:t>
      </w:r>
      <w:proofErr w:type="spellStart"/>
      <w:r w:rsidRPr="00E8759D">
        <w:rPr>
          <w:rFonts w:ascii="Times" w:hAnsi="Times" w:cs="Times New Roman"/>
          <w:color w:val="000000"/>
          <w:sz w:val="27"/>
          <w:szCs w:val="27"/>
        </w:rPr>
        <w:t>Nahmani</w:t>
      </w:r>
      <w:proofErr w:type="spellEnd"/>
      <w:r w:rsidRPr="00E8759D">
        <w:rPr>
          <w:rFonts w:ascii="Times" w:hAnsi="Times" w:cs="Times New Roman"/>
          <w:color w:val="000000"/>
          <w:sz w:val="27"/>
          <w:szCs w:val="27"/>
        </w:rPr>
        <w:t xml:space="preserve"> said in the name of R. Jonathan: Whence do we know that a song of praise is sung only over wine?</w:t>
      </w:r>
      <w:hyperlink r:id="rId9" w:anchor="35a_7" w:history="1">
        <w:r w:rsidRPr="00E8759D">
          <w:rPr>
            <w:rFonts w:ascii="Times" w:hAnsi="Times" w:cs="Times New Roman"/>
            <w:color w:val="0000FF"/>
            <w:sz w:val="15"/>
            <w:u w:val="single"/>
            <w:vertAlign w:val="superscript"/>
          </w:rPr>
          <w:t>7</w:t>
        </w:r>
      </w:hyperlink>
      <w:proofErr w:type="gramStart"/>
      <w:r w:rsidRPr="00E8759D">
        <w:rPr>
          <w:rFonts w:ascii="Times" w:hAnsi="Times" w:cs="Times New Roman"/>
          <w:color w:val="000000"/>
          <w:sz w:val="27"/>
          <w:szCs w:val="27"/>
        </w:rPr>
        <w:t>  Because</w:t>
      </w:r>
      <w:proofErr w:type="gramEnd"/>
      <w:r w:rsidRPr="00E8759D">
        <w:rPr>
          <w:rFonts w:ascii="Times" w:hAnsi="Times" w:cs="Times New Roman"/>
          <w:color w:val="000000"/>
          <w:sz w:val="27"/>
          <w:szCs w:val="27"/>
        </w:rPr>
        <w:t xml:space="preserve"> it says, And the vine said unto them: Should I leave my wine which </w:t>
      </w:r>
      <w:proofErr w:type="spellStart"/>
      <w:r w:rsidRPr="00E8759D">
        <w:rPr>
          <w:rFonts w:ascii="Times" w:hAnsi="Times" w:cs="Times New Roman"/>
          <w:color w:val="000000"/>
          <w:sz w:val="27"/>
          <w:szCs w:val="27"/>
        </w:rPr>
        <w:t>cheereth</w:t>
      </w:r>
      <w:proofErr w:type="spellEnd"/>
      <w:r w:rsidRPr="00E8759D">
        <w:rPr>
          <w:rFonts w:ascii="Times" w:hAnsi="Times" w:cs="Times New Roman"/>
          <w:color w:val="000000"/>
          <w:sz w:val="27"/>
          <w:szCs w:val="27"/>
        </w:rPr>
        <w:t xml:space="preserve"> God and man?</w:t>
      </w:r>
      <w:hyperlink r:id="rId10" w:anchor="35a_8" w:history="1">
        <w:r w:rsidRPr="00E8759D">
          <w:rPr>
            <w:rFonts w:ascii="Times" w:hAnsi="Times" w:cs="Times New Roman"/>
            <w:color w:val="0000FF"/>
            <w:sz w:val="15"/>
            <w:u w:val="single"/>
            <w:vertAlign w:val="superscript"/>
          </w:rPr>
          <w:t>8</w:t>
        </w:r>
      </w:hyperlink>
      <w:proofErr w:type="gramStart"/>
      <w:r w:rsidRPr="00E8759D">
        <w:rPr>
          <w:rFonts w:ascii="Times" w:hAnsi="Times" w:cs="Times New Roman"/>
          <w:color w:val="000000"/>
          <w:sz w:val="27"/>
          <w:szCs w:val="27"/>
        </w:rPr>
        <w:t>  If</w:t>
      </w:r>
      <w:proofErr w:type="gramEnd"/>
      <w:r w:rsidRPr="00E8759D">
        <w:rPr>
          <w:rFonts w:ascii="Times" w:hAnsi="Times" w:cs="Times New Roman"/>
          <w:color w:val="000000"/>
          <w:sz w:val="27"/>
          <w:szCs w:val="27"/>
        </w:rPr>
        <w:t xml:space="preserve"> it cheers man, how does it cheer God? From this we learn that a song of praise is sung only over wine.</w:t>
      </w:r>
    </w:p>
    <w:p w:rsidR="00E8759D" w:rsidRPr="00E8759D" w:rsidRDefault="00E8759D" w:rsidP="00E8759D">
      <w:pPr>
        <w:rPr>
          <w:rFonts w:ascii="Times" w:hAnsi="Times" w:cs="Times New Roman"/>
          <w:color w:val="000000"/>
          <w:sz w:val="27"/>
          <w:szCs w:val="27"/>
        </w:rPr>
      </w:pPr>
      <w:r w:rsidRPr="00E8759D">
        <w:rPr>
          <w:rFonts w:ascii="Times" w:hAnsi="Times" w:cs="Times New Roman"/>
          <w:color w:val="000000"/>
          <w:sz w:val="27"/>
          <w:szCs w:val="27"/>
        </w:rPr>
        <w:t>Now this reasoning</w:t>
      </w:r>
      <w:hyperlink r:id="rId11" w:anchor="35a_9" w:history="1">
        <w:r w:rsidRPr="00E8759D">
          <w:rPr>
            <w:rFonts w:ascii="Times" w:hAnsi="Times" w:cs="Times New Roman"/>
            <w:color w:val="0000FF"/>
            <w:sz w:val="15"/>
            <w:u w:val="single"/>
            <w:vertAlign w:val="superscript"/>
          </w:rPr>
          <w:t>9</w:t>
        </w:r>
      </w:hyperlink>
      <w:proofErr w:type="gramStart"/>
      <w:r w:rsidRPr="00E8759D">
        <w:rPr>
          <w:rFonts w:ascii="Times" w:hAnsi="Times" w:cs="Times New Roman"/>
          <w:color w:val="000000"/>
          <w:sz w:val="27"/>
          <w:szCs w:val="27"/>
        </w:rPr>
        <w:t>  is</w:t>
      </w:r>
      <w:proofErr w:type="gramEnd"/>
      <w:r w:rsidRPr="00E8759D">
        <w:rPr>
          <w:rFonts w:ascii="Times" w:hAnsi="Times" w:cs="Times New Roman"/>
          <w:color w:val="000000"/>
          <w:sz w:val="27"/>
          <w:szCs w:val="27"/>
        </w:rPr>
        <w:t xml:space="preserve"> valid for him who teaches 'The planting of the fourth year'.</w:t>
      </w:r>
      <w:hyperlink r:id="rId12" w:anchor="35a_10" w:history="1">
        <w:r w:rsidRPr="00E8759D">
          <w:rPr>
            <w:rFonts w:ascii="Times" w:hAnsi="Times" w:cs="Times New Roman"/>
            <w:color w:val="0000FF"/>
            <w:sz w:val="15"/>
            <w:u w:val="single"/>
            <w:vertAlign w:val="superscript"/>
          </w:rPr>
          <w:t>10</w:t>
        </w:r>
      </w:hyperlink>
      <w:proofErr w:type="gramStart"/>
      <w:r w:rsidRPr="00E8759D">
        <w:rPr>
          <w:rFonts w:ascii="Times" w:hAnsi="Times" w:cs="Times New Roman"/>
          <w:color w:val="000000"/>
          <w:sz w:val="27"/>
          <w:szCs w:val="27"/>
        </w:rPr>
        <w:t>  But</w:t>
      </w:r>
      <w:proofErr w:type="gramEnd"/>
      <w:r w:rsidRPr="00E8759D">
        <w:rPr>
          <w:rFonts w:ascii="Times" w:hAnsi="Times" w:cs="Times New Roman"/>
          <w:color w:val="000000"/>
          <w:sz w:val="27"/>
          <w:szCs w:val="27"/>
        </w:rPr>
        <w:t xml:space="preserve"> for him who teaches 'The vineyard of the fourth year', what can be said? For it has been stated: R. </w:t>
      </w:r>
      <w:proofErr w:type="spellStart"/>
      <w:r w:rsidRPr="00E8759D">
        <w:rPr>
          <w:rFonts w:ascii="Times" w:hAnsi="Times" w:cs="Times New Roman"/>
          <w:color w:val="000000"/>
          <w:sz w:val="27"/>
          <w:szCs w:val="27"/>
        </w:rPr>
        <w:t>Hiyya</w:t>
      </w:r>
      <w:proofErr w:type="spellEnd"/>
      <w:r w:rsidRPr="00E8759D">
        <w:rPr>
          <w:rFonts w:ascii="Times" w:hAnsi="Times" w:cs="Times New Roman"/>
          <w:color w:val="000000"/>
          <w:sz w:val="27"/>
          <w:szCs w:val="27"/>
        </w:rPr>
        <w:t xml:space="preserve"> and R. Simeon the son of Rabbi [taught differently]. One taught, 'Vineyard of the fourth year', the other taught, 'Planting of the fourth year'. — For him who teaches 'Vineyard of the fourth year' also there is no difficulty if he avails himself of a </w:t>
      </w:r>
      <w:proofErr w:type="spellStart"/>
      <w:r w:rsidRPr="00E8759D">
        <w:rPr>
          <w:rFonts w:ascii="Times" w:hAnsi="Times" w:cs="Times New Roman"/>
          <w:i/>
          <w:color w:val="000000"/>
          <w:sz w:val="27"/>
          <w:szCs w:val="27"/>
        </w:rPr>
        <w:t>gezerah</w:t>
      </w:r>
      <w:proofErr w:type="spellEnd"/>
      <w:r w:rsidRPr="00E8759D">
        <w:rPr>
          <w:rFonts w:ascii="Times" w:hAnsi="Times" w:cs="Times New Roman"/>
          <w:i/>
          <w:color w:val="000000"/>
          <w:sz w:val="27"/>
          <w:szCs w:val="27"/>
        </w:rPr>
        <w:t xml:space="preserve"> shawah</w:t>
      </w:r>
      <w:r w:rsidRPr="00E8759D">
        <w:rPr>
          <w:rFonts w:ascii="Times" w:hAnsi="Times" w:cs="Times New Roman"/>
          <w:color w:val="000000"/>
          <w:sz w:val="27"/>
          <w:szCs w:val="27"/>
        </w:rPr>
        <w:t>.</w:t>
      </w:r>
      <w:hyperlink r:id="rId13" w:anchor="35a_11" w:history="1">
        <w:r w:rsidRPr="00E8759D">
          <w:rPr>
            <w:rFonts w:ascii="Times" w:hAnsi="Times" w:cs="Times New Roman"/>
            <w:color w:val="0000FF"/>
            <w:sz w:val="15"/>
            <w:u w:val="single"/>
            <w:vertAlign w:val="superscript"/>
          </w:rPr>
          <w:t>11</w:t>
        </w:r>
      </w:hyperlink>
      <w:proofErr w:type="gramStart"/>
      <w:r w:rsidRPr="00E8759D">
        <w:rPr>
          <w:rFonts w:ascii="Times" w:hAnsi="Times" w:cs="Times New Roman"/>
          <w:color w:val="000000"/>
          <w:sz w:val="27"/>
          <w:szCs w:val="27"/>
        </w:rPr>
        <w:t>  For</w:t>
      </w:r>
      <w:proofErr w:type="gramEnd"/>
      <w:r w:rsidRPr="00E8759D">
        <w:rPr>
          <w:rFonts w:ascii="Times" w:hAnsi="Times" w:cs="Times New Roman"/>
          <w:color w:val="000000"/>
          <w:sz w:val="27"/>
          <w:szCs w:val="27"/>
        </w:rPr>
        <w:t xml:space="preserve"> it has been taught: Rabbi says: It says there, that it may yield unto you more richly the increase thereof,</w:t>
      </w:r>
      <w:hyperlink r:id="rId14" w:anchor="35a_12" w:history="1">
        <w:r w:rsidRPr="00E8759D">
          <w:rPr>
            <w:rFonts w:ascii="Times" w:hAnsi="Times" w:cs="Times New Roman"/>
            <w:color w:val="0000FF"/>
            <w:sz w:val="15"/>
            <w:u w:val="single"/>
            <w:vertAlign w:val="superscript"/>
          </w:rPr>
          <w:t>12</w:t>
        </w:r>
      </w:hyperlink>
      <w:r w:rsidRPr="00E8759D">
        <w:rPr>
          <w:rFonts w:ascii="Times" w:hAnsi="Times" w:cs="Times New Roman"/>
          <w:color w:val="000000"/>
          <w:sz w:val="27"/>
          <w:szCs w:val="27"/>
        </w:rPr>
        <w:t>  and it says in another place, the increase of the vineyard.</w:t>
      </w:r>
      <w:hyperlink r:id="rId15" w:anchor="35a_13" w:history="1">
        <w:r w:rsidRPr="00E8759D">
          <w:rPr>
            <w:rFonts w:ascii="Times" w:hAnsi="Times" w:cs="Times New Roman"/>
            <w:color w:val="0000FF"/>
            <w:sz w:val="15"/>
            <w:u w:val="single"/>
            <w:vertAlign w:val="superscript"/>
          </w:rPr>
          <w:t>13</w:t>
        </w:r>
      </w:hyperlink>
      <w:proofErr w:type="gramStart"/>
      <w:r w:rsidRPr="00E8759D">
        <w:rPr>
          <w:rFonts w:ascii="Times" w:hAnsi="Times" w:cs="Times New Roman"/>
          <w:color w:val="000000"/>
          <w:sz w:val="27"/>
          <w:szCs w:val="27"/>
        </w:rPr>
        <w:t>  Just</w:t>
      </w:r>
      <w:proofErr w:type="gramEnd"/>
      <w:r w:rsidRPr="00E8759D">
        <w:rPr>
          <w:rFonts w:ascii="Times" w:hAnsi="Times" w:cs="Times New Roman"/>
          <w:color w:val="000000"/>
          <w:sz w:val="27"/>
          <w:szCs w:val="27"/>
        </w:rPr>
        <w:t xml:space="preserve"> as in the latter passage 'increase' refers to the vineyard, so here it refers to the vineyard. Thus one </w:t>
      </w:r>
      <w:proofErr w:type="spellStart"/>
      <w:r w:rsidRPr="00E8759D">
        <w:rPr>
          <w:rFonts w:ascii="Times" w:hAnsi="Times" w:cs="Times New Roman"/>
          <w:color w:val="000000"/>
          <w:sz w:val="27"/>
          <w:szCs w:val="27"/>
        </w:rPr>
        <w:t>hillul</w:t>
      </w:r>
      <w:proofErr w:type="spellEnd"/>
      <w:r w:rsidRPr="00E8759D">
        <w:rPr>
          <w:rFonts w:ascii="Times" w:hAnsi="Times" w:cs="Times New Roman"/>
          <w:color w:val="000000"/>
          <w:sz w:val="27"/>
          <w:szCs w:val="27"/>
        </w:rPr>
        <w:t xml:space="preserve"> is left over to indicate that a blessing is required. But if he does not avail himself of a </w:t>
      </w:r>
      <w:proofErr w:type="spellStart"/>
      <w:r w:rsidRPr="00E8759D">
        <w:rPr>
          <w:rFonts w:ascii="Times" w:hAnsi="Times" w:cs="Times New Roman"/>
          <w:i/>
          <w:color w:val="000000"/>
          <w:sz w:val="27"/>
          <w:szCs w:val="27"/>
        </w:rPr>
        <w:t>gezerah</w:t>
      </w:r>
      <w:proofErr w:type="spellEnd"/>
      <w:r w:rsidRPr="00E8759D">
        <w:rPr>
          <w:rFonts w:ascii="Times" w:hAnsi="Times" w:cs="Times New Roman"/>
          <w:i/>
          <w:color w:val="000000"/>
          <w:sz w:val="27"/>
          <w:szCs w:val="27"/>
        </w:rPr>
        <w:t xml:space="preserve"> </w:t>
      </w:r>
      <w:proofErr w:type="spellStart"/>
      <w:r w:rsidRPr="00E8759D">
        <w:rPr>
          <w:rFonts w:ascii="Times" w:hAnsi="Times" w:cs="Times New Roman"/>
          <w:i/>
          <w:color w:val="000000"/>
          <w:sz w:val="27"/>
          <w:szCs w:val="27"/>
        </w:rPr>
        <w:t>shawah</w:t>
      </w:r>
      <w:proofErr w:type="spellEnd"/>
      <w:r w:rsidRPr="00E8759D">
        <w:rPr>
          <w:rFonts w:ascii="Times" w:hAnsi="Times" w:cs="Times New Roman"/>
          <w:color w:val="000000"/>
          <w:sz w:val="27"/>
          <w:szCs w:val="27"/>
        </w:rPr>
        <w:t>, how can he derive this lesson? And even if he does avail himself of a </w:t>
      </w:r>
      <w:proofErr w:type="spellStart"/>
      <w:r w:rsidRPr="00E8759D">
        <w:rPr>
          <w:rFonts w:ascii="Times" w:hAnsi="Times" w:cs="Times New Roman"/>
          <w:i/>
          <w:color w:val="000000"/>
          <w:sz w:val="27"/>
          <w:szCs w:val="27"/>
        </w:rPr>
        <w:t>gezerah</w:t>
      </w:r>
      <w:proofErr w:type="spellEnd"/>
      <w:r w:rsidRPr="00E8759D">
        <w:rPr>
          <w:rFonts w:ascii="Times" w:hAnsi="Times" w:cs="Times New Roman"/>
          <w:i/>
          <w:color w:val="000000"/>
          <w:sz w:val="27"/>
          <w:szCs w:val="27"/>
        </w:rPr>
        <w:t xml:space="preserve"> </w:t>
      </w:r>
      <w:proofErr w:type="spellStart"/>
      <w:r w:rsidRPr="00E8759D">
        <w:rPr>
          <w:rFonts w:ascii="Times" w:hAnsi="Times" w:cs="Times New Roman"/>
          <w:i/>
          <w:color w:val="000000"/>
          <w:sz w:val="27"/>
          <w:szCs w:val="27"/>
        </w:rPr>
        <w:t>shawah</w:t>
      </w:r>
      <w:proofErr w:type="spellEnd"/>
      <w:r w:rsidRPr="00E8759D">
        <w:rPr>
          <w:rFonts w:ascii="Times" w:hAnsi="Times" w:cs="Times New Roman"/>
          <w:color w:val="000000"/>
          <w:sz w:val="27"/>
          <w:szCs w:val="27"/>
        </w:rPr>
        <w:t>, while we are satisfied that a blessing is required after it,</w:t>
      </w:r>
      <w:hyperlink r:id="rId16" w:anchor="35a_14" w:history="1">
        <w:r w:rsidRPr="00E8759D">
          <w:rPr>
            <w:rFonts w:ascii="Times" w:hAnsi="Times" w:cs="Times New Roman"/>
            <w:color w:val="0000FF"/>
            <w:sz w:val="15"/>
            <w:u w:val="single"/>
            <w:vertAlign w:val="superscript"/>
          </w:rPr>
          <w:t>14</w:t>
        </w:r>
      </w:hyperlink>
      <w:proofErr w:type="gramStart"/>
      <w:r w:rsidRPr="00E8759D">
        <w:rPr>
          <w:rFonts w:ascii="Times" w:hAnsi="Times" w:cs="Times New Roman"/>
          <w:color w:val="000000"/>
          <w:sz w:val="27"/>
          <w:szCs w:val="27"/>
        </w:rPr>
        <w:t>  whence</w:t>
      </w:r>
      <w:proofErr w:type="gramEnd"/>
      <w:r w:rsidRPr="00E8759D">
        <w:rPr>
          <w:rFonts w:ascii="Times" w:hAnsi="Times" w:cs="Times New Roman"/>
          <w:color w:val="000000"/>
          <w:sz w:val="27"/>
          <w:szCs w:val="27"/>
        </w:rPr>
        <w:t xml:space="preserve"> do we learn that it is required [before partaking]? — This is no difficulty. We derive it by argument </w:t>
      </w:r>
      <w:r w:rsidRPr="00E8759D">
        <w:rPr>
          <w:rFonts w:ascii="Times" w:hAnsi="Times" w:cs="Times New Roman"/>
          <w:i/>
          <w:color w:val="000000"/>
          <w:sz w:val="27"/>
          <w:szCs w:val="27"/>
        </w:rPr>
        <w:t>a fortiori</w:t>
      </w:r>
      <w:r w:rsidRPr="00E8759D">
        <w:rPr>
          <w:rFonts w:ascii="Times" w:hAnsi="Times" w:cs="Times New Roman"/>
          <w:color w:val="000000"/>
          <w:sz w:val="27"/>
          <w:szCs w:val="27"/>
        </w:rPr>
        <w:t>: If he says a blessing when he is full, how much more so ought he to do so when he is hungry?</w:t>
      </w:r>
      <w:hyperlink r:id="rId17" w:anchor="35a_15" w:history="1">
        <w:r w:rsidRPr="00E8759D">
          <w:rPr>
            <w:rFonts w:ascii="Times" w:hAnsi="Times" w:cs="Times New Roman"/>
            <w:color w:val="0000FF"/>
            <w:sz w:val="15"/>
            <w:u w:val="single"/>
            <w:vertAlign w:val="superscript"/>
          </w:rPr>
          <w:t>15</w:t>
        </w:r>
      </w:hyperlink>
    </w:p>
    <w:p w:rsidR="00E8759D" w:rsidRDefault="00E8759D" w:rsidP="00E8759D">
      <w:pPr>
        <w:rPr>
          <w:rFonts w:ascii="Times" w:hAnsi="Times" w:cs="Times New Roman"/>
          <w:color w:val="000000"/>
          <w:sz w:val="27"/>
          <w:szCs w:val="27"/>
        </w:rPr>
      </w:pPr>
      <w:r w:rsidRPr="00E8759D">
        <w:rPr>
          <w:rFonts w:ascii="Times" w:hAnsi="Times" w:cs="Times New Roman"/>
          <w:color w:val="000000"/>
          <w:sz w:val="27"/>
          <w:szCs w:val="27"/>
        </w:rPr>
        <w:t>We have found a proof for the case of [the produce of the vineyard]: whence do we find [that a benediction is required] for other species?</w:t>
      </w:r>
      <w:hyperlink r:id="rId18" w:anchor="35a_16" w:history="1">
        <w:r w:rsidRPr="00E8759D">
          <w:rPr>
            <w:rFonts w:ascii="Times" w:hAnsi="Times" w:cs="Times New Roman"/>
            <w:color w:val="0000FF"/>
            <w:sz w:val="15"/>
            <w:u w:val="single"/>
            <w:vertAlign w:val="superscript"/>
          </w:rPr>
          <w:t>16</w:t>
        </w:r>
      </w:hyperlink>
      <w:proofErr w:type="gramStart"/>
      <w:r w:rsidRPr="00E8759D">
        <w:rPr>
          <w:rFonts w:ascii="Times" w:hAnsi="Times" w:cs="Times New Roman"/>
          <w:color w:val="000000"/>
          <w:sz w:val="27"/>
          <w:szCs w:val="27"/>
        </w:rPr>
        <w:t>  It</w:t>
      </w:r>
      <w:proofErr w:type="gramEnd"/>
      <w:r w:rsidRPr="00E8759D">
        <w:rPr>
          <w:rFonts w:ascii="Times" w:hAnsi="Times" w:cs="Times New Roman"/>
          <w:color w:val="000000"/>
          <w:sz w:val="27"/>
          <w:szCs w:val="27"/>
        </w:rPr>
        <w:t xml:space="preserve"> can be learnt from the vineyard. Just as the vineyard being something that is enjoyed requires a blessing, so everything that is enjoyed requires a blessing. But this may be refuted: How can we learn from a vineyard, seeing that it is subject to the obligation of the gleanings?</w:t>
      </w:r>
      <w:hyperlink r:id="rId19" w:anchor="35a_17" w:history="1">
        <w:r w:rsidRPr="00E8759D">
          <w:rPr>
            <w:rFonts w:ascii="Times" w:hAnsi="Times" w:cs="Times New Roman"/>
            <w:color w:val="0000FF"/>
            <w:sz w:val="15"/>
            <w:u w:val="single"/>
            <w:vertAlign w:val="superscript"/>
          </w:rPr>
          <w:t>17</w:t>
        </w:r>
      </w:hyperlink>
      <w:r w:rsidRPr="00E8759D">
        <w:rPr>
          <w:rFonts w:ascii="Times" w:hAnsi="Times" w:cs="Times New Roman"/>
          <w:color w:val="000000"/>
          <w:sz w:val="27"/>
          <w:szCs w:val="27"/>
        </w:rPr>
        <w:t>  — We may cite the instance of corn.</w:t>
      </w:r>
      <w:hyperlink r:id="rId20" w:anchor="35a_18" w:history="1">
        <w:r w:rsidRPr="00E8759D">
          <w:rPr>
            <w:rFonts w:ascii="Times" w:hAnsi="Times" w:cs="Times New Roman"/>
            <w:color w:val="0000FF"/>
            <w:sz w:val="15"/>
            <w:u w:val="single"/>
            <w:vertAlign w:val="superscript"/>
          </w:rPr>
          <w:t>18</w:t>
        </w:r>
      </w:hyperlink>
      <w:proofErr w:type="gramStart"/>
      <w:r w:rsidRPr="00E8759D">
        <w:rPr>
          <w:rFonts w:ascii="Times" w:hAnsi="Times" w:cs="Times New Roman"/>
          <w:color w:val="000000"/>
          <w:sz w:val="27"/>
          <w:szCs w:val="27"/>
        </w:rPr>
        <w:t>  How</w:t>
      </w:r>
      <w:proofErr w:type="gramEnd"/>
      <w:r w:rsidRPr="00E8759D">
        <w:rPr>
          <w:rFonts w:ascii="Times" w:hAnsi="Times" w:cs="Times New Roman"/>
          <w:color w:val="000000"/>
          <w:sz w:val="27"/>
          <w:szCs w:val="27"/>
        </w:rPr>
        <w:t xml:space="preserve"> can you cite the instance of corn, seeing that it is subject to the obligation of </w:t>
      </w:r>
      <w:r w:rsidRPr="00E8759D">
        <w:rPr>
          <w:rFonts w:ascii="Times" w:hAnsi="Times" w:cs="Times New Roman"/>
          <w:i/>
          <w:color w:val="000000"/>
          <w:sz w:val="27"/>
          <w:szCs w:val="27"/>
        </w:rPr>
        <w:t>hallah</w:t>
      </w:r>
      <w:r w:rsidRPr="00E8759D">
        <w:rPr>
          <w:rFonts w:ascii="Times" w:hAnsi="Times" w:cs="Times New Roman"/>
          <w:color w:val="000000"/>
          <w:sz w:val="27"/>
          <w:szCs w:val="27"/>
        </w:rPr>
        <w:t>?</w:t>
      </w:r>
      <w:hyperlink r:id="rId21" w:anchor="35a_19" w:history="1">
        <w:r w:rsidRPr="00E8759D">
          <w:rPr>
            <w:rFonts w:ascii="Times" w:hAnsi="Times" w:cs="Times New Roman"/>
            <w:color w:val="0000FF"/>
            <w:sz w:val="15"/>
            <w:u w:val="single"/>
            <w:vertAlign w:val="superscript"/>
          </w:rPr>
          <w:t>19</w:t>
        </w:r>
      </w:hyperlink>
      <w:r w:rsidRPr="00E8759D">
        <w:rPr>
          <w:rFonts w:ascii="Times" w:hAnsi="Times" w:cs="Times New Roman"/>
          <w:color w:val="000000"/>
          <w:sz w:val="27"/>
          <w:szCs w:val="27"/>
        </w:rPr>
        <w:t>  — We may then cite the instance of the vineyard, and the argument goes round in a circle: The distinguishing feature of the first instance is not like that of the second, and vice versa. The feature common to both is that being things which are enjoyed they require a blessing; similarly everything which is enjoyed requires a blessing. But this [argument from a] common feature [is not conclusive], because there is with them</w:t>
      </w:r>
      <w:hyperlink r:id="rId22" w:anchor="35a_20" w:history="1">
        <w:r w:rsidRPr="00E8759D">
          <w:rPr>
            <w:rFonts w:ascii="Times" w:hAnsi="Times" w:cs="Times New Roman"/>
            <w:color w:val="0000FF"/>
            <w:sz w:val="15"/>
            <w:u w:val="single"/>
            <w:vertAlign w:val="superscript"/>
          </w:rPr>
          <w:t>20</w:t>
        </w:r>
      </w:hyperlink>
      <w:proofErr w:type="gramStart"/>
      <w:r w:rsidRPr="00E8759D">
        <w:rPr>
          <w:rFonts w:ascii="Times" w:hAnsi="Times" w:cs="Times New Roman"/>
          <w:color w:val="000000"/>
          <w:sz w:val="27"/>
          <w:szCs w:val="27"/>
        </w:rPr>
        <w:t>  the</w:t>
      </w:r>
      <w:proofErr w:type="gramEnd"/>
      <w:r w:rsidRPr="00E8759D">
        <w:rPr>
          <w:rFonts w:ascii="Times" w:hAnsi="Times" w:cs="Times New Roman"/>
          <w:color w:val="000000"/>
          <w:sz w:val="27"/>
          <w:szCs w:val="27"/>
        </w:rPr>
        <w:t xml:space="preserve"> common feature that they are offered on the altar!</w:t>
      </w:r>
      <w:hyperlink r:id="rId23" w:anchor="35a_21" w:history="1">
        <w:r w:rsidRPr="00E8759D">
          <w:rPr>
            <w:rFonts w:ascii="Times" w:hAnsi="Times" w:cs="Times New Roman"/>
            <w:color w:val="0000FF"/>
            <w:sz w:val="15"/>
            <w:u w:val="single"/>
            <w:vertAlign w:val="superscript"/>
          </w:rPr>
          <w:t>21</w:t>
        </w:r>
      </w:hyperlink>
      <w:r w:rsidRPr="00E8759D">
        <w:rPr>
          <w:rFonts w:ascii="Times" w:hAnsi="Times" w:cs="Times New Roman"/>
          <w:color w:val="000000"/>
          <w:sz w:val="27"/>
          <w:szCs w:val="27"/>
        </w:rPr>
        <w:t xml:space="preserve">  </w:t>
      </w:r>
    </w:p>
    <w:p w:rsidR="00E8759D" w:rsidRPr="00E8759D" w:rsidRDefault="00E8759D" w:rsidP="00E8759D">
      <w:pPr>
        <w:rPr>
          <w:rFonts w:ascii="Times" w:hAnsi="Times" w:cs="Times New Roman"/>
          <w:color w:val="000000"/>
          <w:sz w:val="27"/>
          <w:szCs w:val="27"/>
        </w:rPr>
      </w:pPr>
      <w:r>
        <w:rPr>
          <w:rFonts w:ascii="Times" w:hAnsi="Times" w:cs="Times New Roman"/>
          <w:color w:val="000000"/>
          <w:sz w:val="27"/>
          <w:szCs w:val="27"/>
        </w:rPr>
        <w:t>………………..</w:t>
      </w:r>
    </w:p>
    <w:p w:rsidR="00E8759D" w:rsidRPr="00E8759D" w:rsidRDefault="00E8759D" w:rsidP="00E8759D">
      <w:pPr>
        <w:rPr>
          <w:rFonts w:ascii="Times" w:hAnsi="Times" w:cs="Times New Roman"/>
          <w:color w:val="000000"/>
          <w:sz w:val="27"/>
          <w:szCs w:val="27"/>
        </w:rPr>
      </w:pPr>
      <w:r w:rsidRPr="00E8759D">
        <w:rPr>
          <w:rFonts w:ascii="Times" w:hAnsi="Times" w:cs="Times New Roman"/>
          <w:color w:val="000000"/>
          <w:sz w:val="27"/>
          <w:szCs w:val="27"/>
        </w:rPr>
        <w:t>Our Rabbis have taught: It is forbidden to a man to enjoy anything of this world without a benediction, and if anyone enjoys anything of this world without a benediction, he commits sacrilege.</w:t>
      </w:r>
      <w:hyperlink r:id="rId24" w:anchor="35a_27" w:history="1">
        <w:r w:rsidRPr="00E8759D">
          <w:rPr>
            <w:rFonts w:ascii="Times" w:hAnsi="Times" w:cs="Times New Roman"/>
            <w:color w:val="0000FF"/>
            <w:sz w:val="15"/>
            <w:u w:val="single"/>
            <w:vertAlign w:val="superscript"/>
          </w:rPr>
          <w:t>27</w:t>
        </w:r>
      </w:hyperlink>
      <w:proofErr w:type="gramStart"/>
      <w:r w:rsidRPr="00E8759D">
        <w:rPr>
          <w:rFonts w:ascii="Times" w:hAnsi="Times" w:cs="Times New Roman"/>
          <w:color w:val="000000"/>
          <w:sz w:val="27"/>
          <w:szCs w:val="27"/>
        </w:rPr>
        <w:t>  What</w:t>
      </w:r>
      <w:proofErr w:type="gramEnd"/>
      <w:r w:rsidRPr="00E8759D">
        <w:rPr>
          <w:rFonts w:ascii="Times" w:hAnsi="Times" w:cs="Times New Roman"/>
          <w:color w:val="000000"/>
          <w:sz w:val="27"/>
          <w:szCs w:val="27"/>
        </w:rPr>
        <w:t xml:space="preserve"> is his remedy? He should consult a wise man. What will the wise man do for him? He has already committed the offence! — Said Raba: What it means is that he should consult a wise man beforehand, so that he should teach him blessings and he should not commit sacrilege. </w:t>
      </w:r>
      <w:proofErr w:type="spellStart"/>
      <w:r w:rsidRPr="00E8759D">
        <w:rPr>
          <w:rFonts w:ascii="Times" w:hAnsi="Times" w:cs="Times New Roman"/>
          <w:color w:val="000000"/>
          <w:sz w:val="27"/>
          <w:szCs w:val="27"/>
        </w:rPr>
        <w:t>Rab</w:t>
      </w:r>
      <w:proofErr w:type="spellEnd"/>
      <w:r w:rsidRPr="00E8759D">
        <w:rPr>
          <w:rFonts w:ascii="Times" w:hAnsi="Times" w:cs="Times New Roman"/>
          <w:color w:val="000000"/>
          <w:sz w:val="27"/>
          <w:szCs w:val="27"/>
        </w:rPr>
        <w:t xml:space="preserve"> Judah said in the name of Samuel: To enjoy anything of this world without a benediction is like making personal use of things consecrated to heaven, since it says. The earth is the Lord's and the </w:t>
      </w:r>
      <w:proofErr w:type="spellStart"/>
      <w:r w:rsidRPr="00E8759D">
        <w:rPr>
          <w:rFonts w:ascii="Times" w:hAnsi="Times" w:cs="Times New Roman"/>
          <w:color w:val="000000"/>
          <w:sz w:val="27"/>
          <w:szCs w:val="27"/>
        </w:rPr>
        <w:t>fulness</w:t>
      </w:r>
      <w:proofErr w:type="spellEnd"/>
      <w:r w:rsidRPr="00E8759D">
        <w:rPr>
          <w:rFonts w:ascii="Times" w:hAnsi="Times" w:cs="Times New Roman"/>
          <w:color w:val="000000"/>
          <w:sz w:val="27"/>
          <w:szCs w:val="27"/>
        </w:rPr>
        <w:t xml:space="preserve"> there of.</w:t>
      </w:r>
      <w:hyperlink r:id="rId25" w:anchor="35a_28" w:history="1">
        <w:r w:rsidRPr="00E8759D">
          <w:rPr>
            <w:rFonts w:ascii="Times" w:hAnsi="Times" w:cs="Times New Roman"/>
            <w:color w:val="0000FF"/>
            <w:sz w:val="15"/>
            <w:u w:val="single"/>
            <w:vertAlign w:val="superscript"/>
          </w:rPr>
          <w:t>28</w:t>
        </w:r>
      </w:hyperlink>
      <w:proofErr w:type="gramStart"/>
      <w:r w:rsidRPr="00E8759D">
        <w:rPr>
          <w:rFonts w:ascii="Times" w:hAnsi="Times" w:cs="Times New Roman"/>
          <w:color w:val="000000"/>
          <w:sz w:val="27"/>
          <w:szCs w:val="27"/>
        </w:rPr>
        <w:t>  R</w:t>
      </w:r>
      <w:proofErr w:type="gramEnd"/>
      <w:r w:rsidRPr="00E8759D">
        <w:rPr>
          <w:rFonts w:ascii="Times" w:hAnsi="Times" w:cs="Times New Roman"/>
          <w:color w:val="000000"/>
          <w:sz w:val="27"/>
          <w:szCs w:val="27"/>
        </w:rPr>
        <w:t xml:space="preserve">. Levi contrasted two texts. It is written, 'The earth is the Lord's and the </w:t>
      </w:r>
      <w:proofErr w:type="spellStart"/>
      <w:r w:rsidRPr="00E8759D">
        <w:rPr>
          <w:rFonts w:ascii="Times" w:hAnsi="Times" w:cs="Times New Roman"/>
          <w:color w:val="000000"/>
          <w:sz w:val="27"/>
          <w:szCs w:val="27"/>
        </w:rPr>
        <w:t>fulness</w:t>
      </w:r>
      <w:proofErr w:type="spellEnd"/>
      <w:r w:rsidRPr="00E8759D">
        <w:rPr>
          <w:rFonts w:ascii="Times" w:hAnsi="Times" w:cs="Times New Roman"/>
          <w:color w:val="000000"/>
          <w:sz w:val="27"/>
          <w:szCs w:val="27"/>
        </w:rPr>
        <w:t xml:space="preserve"> thereof', and it is also written, The heavens are the heavens of the Lord, but the earth hath He given to the children of men!</w:t>
      </w:r>
      <w:hyperlink r:id="rId26" w:anchor="35a_29" w:history="1">
        <w:r w:rsidRPr="00E8759D">
          <w:rPr>
            <w:rFonts w:ascii="Times" w:hAnsi="Times" w:cs="Times New Roman"/>
            <w:color w:val="0000FF"/>
            <w:sz w:val="15"/>
            <w:u w:val="single"/>
            <w:vertAlign w:val="superscript"/>
          </w:rPr>
          <w:t>29</w:t>
        </w:r>
      </w:hyperlink>
      <w:proofErr w:type="gramStart"/>
      <w:r w:rsidRPr="00E8759D">
        <w:rPr>
          <w:rFonts w:ascii="Times" w:hAnsi="Times" w:cs="Times New Roman"/>
          <w:color w:val="000000"/>
          <w:sz w:val="27"/>
          <w:szCs w:val="27"/>
        </w:rPr>
        <w:t>  There</w:t>
      </w:r>
      <w:proofErr w:type="gramEnd"/>
      <w:r w:rsidRPr="00E8759D">
        <w:rPr>
          <w:rFonts w:ascii="Times" w:hAnsi="Times" w:cs="Times New Roman"/>
          <w:color w:val="000000"/>
          <w:sz w:val="27"/>
          <w:szCs w:val="27"/>
        </w:rPr>
        <w:t xml:space="preserve"> is no contradiction: in the one case it is before a blessing has been said</w:t>
      </w:r>
    </w:p>
    <w:p w:rsidR="00E409A9" w:rsidRDefault="00E8759D"/>
    <w:sectPr w:rsidR="00E409A9" w:rsidSect="00BD39C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8759D"/>
    <w:rsid w:val="00E8759D"/>
  </w:rsids>
  <m:mathPr>
    <m:mathFont m:val="Calisto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710"/>
    <w:rPr>
      <w:sz w:val="24"/>
      <w:szCs w:val="24"/>
    </w:rPr>
  </w:style>
  <w:style w:type="paragraph" w:styleId="Heading1">
    <w:name w:val="heading 1"/>
    <w:basedOn w:val="Normal"/>
    <w:link w:val="Heading1Char"/>
    <w:uiPriority w:val="9"/>
    <w:rsid w:val="00E8759D"/>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E8759D"/>
    <w:pPr>
      <w:spacing w:beforeLines="1" w:afterLines="1"/>
      <w:outlineLvl w:val="1"/>
    </w:pPr>
    <w:rPr>
      <w:rFonts w:ascii="Times" w:hAnsi="Times"/>
      <w:b/>
      <w:sz w:val="36"/>
      <w:szCs w:val="20"/>
    </w:rPr>
  </w:style>
  <w:style w:type="paragraph" w:styleId="Heading3">
    <w:name w:val="heading 3"/>
    <w:basedOn w:val="Normal"/>
    <w:link w:val="Heading3Char"/>
    <w:uiPriority w:val="9"/>
    <w:rsid w:val="00E8759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E8759D"/>
    <w:rPr>
      <w:rFonts w:ascii="Times" w:hAnsi="Times"/>
      <w:b/>
      <w:kern w:val="36"/>
      <w:sz w:val="48"/>
    </w:rPr>
  </w:style>
  <w:style w:type="character" w:customStyle="1" w:styleId="Heading2Char">
    <w:name w:val="Heading 2 Char"/>
    <w:basedOn w:val="DefaultParagraphFont"/>
    <w:link w:val="Heading2"/>
    <w:uiPriority w:val="9"/>
    <w:rsid w:val="00E8759D"/>
    <w:rPr>
      <w:rFonts w:ascii="Times" w:hAnsi="Times"/>
      <w:b/>
      <w:sz w:val="36"/>
    </w:rPr>
  </w:style>
  <w:style w:type="character" w:customStyle="1" w:styleId="Heading3Char">
    <w:name w:val="Heading 3 Char"/>
    <w:basedOn w:val="DefaultParagraphFont"/>
    <w:link w:val="Heading3"/>
    <w:uiPriority w:val="9"/>
    <w:rsid w:val="00E8759D"/>
    <w:rPr>
      <w:rFonts w:ascii="Times" w:hAnsi="Times"/>
      <w:b/>
      <w:sz w:val="27"/>
    </w:rPr>
  </w:style>
  <w:style w:type="paragraph" w:styleId="NormalWeb">
    <w:name w:val="Normal (Web)"/>
    <w:basedOn w:val="Normal"/>
    <w:uiPriority w:val="99"/>
    <w:rsid w:val="00E8759D"/>
    <w:pPr>
      <w:spacing w:beforeLines="1" w:afterLines="1"/>
    </w:pPr>
    <w:rPr>
      <w:rFonts w:ascii="Times" w:hAnsi="Times" w:cs="Times New Roman"/>
      <w:sz w:val="20"/>
      <w:szCs w:val="20"/>
    </w:rPr>
  </w:style>
  <w:style w:type="character" w:styleId="Hyperlink">
    <w:name w:val="Hyperlink"/>
    <w:basedOn w:val="DefaultParagraphFont"/>
    <w:uiPriority w:val="99"/>
    <w:rsid w:val="00E8759D"/>
    <w:rPr>
      <w:color w:val="0000FF"/>
      <w:u w:val="single"/>
    </w:rPr>
  </w:style>
  <w:style w:type="character" w:styleId="FollowedHyperlink">
    <w:name w:val="FollowedHyperlink"/>
    <w:basedOn w:val="DefaultParagraphFont"/>
    <w:uiPriority w:val="99"/>
    <w:rsid w:val="00E8759D"/>
    <w:rPr>
      <w:color w:val="0000FF"/>
      <w:u w:val="single"/>
    </w:rPr>
  </w:style>
</w:styles>
</file>

<file path=word/webSettings.xml><?xml version="1.0" encoding="utf-8"?>
<w:webSettings xmlns:r="http://schemas.openxmlformats.org/officeDocument/2006/relationships" xmlns:w="http://schemas.openxmlformats.org/wordprocessingml/2006/main">
  <w:divs>
    <w:div w:id="18696348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halakhah.com/berakoth/berakoth_35.html" TargetMode="External"/><Relationship Id="rId20" Type="http://schemas.openxmlformats.org/officeDocument/2006/relationships/hyperlink" Target="https://halakhah.com/berakoth/berakoth_35.html" TargetMode="External"/><Relationship Id="rId21" Type="http://schemas.openxmlformats.org/officeDocument/2006/relationships/hyperlink" Target="https://halakhah.com/berakoth/berakoth_35.html" TargetMode="External"/><Relationship Id="rId22" Type="http://schemas.openxmlformats.org/officeDocument/2006/relationships/hyperlink" Target="https://halakhah.com/berakoth/berakoth_35.html" TargetMode="External"/><Relationship Id="rId23" Type="http://schemas.openxmlformats.org/officeDocument/2006/relationships/hyperlink" Target="https://halakhah.com/berakoth/berakoth_35.html" TargetMode="External"/><Relationship Id="rId24" Type="http://schemas.openxmlformats.org/officeDocument/2006/relationships/hyperlink" Target="https://halakhah.com/berakoth/berakoth_35.html" TargetMode="External"/><Relationship Id="rId25" Type="http://schemas.openxmlformats.org/officeDocument/2006/relationships/hyperlink" Target="https://halakhah.com/berakoth/berakoth_35.html" TargetMode="External"/><Relationship Id="rId26" Type="http://schemas.openxmlformats.org/officeDocument/2006/relationships/hyperlink" Target="https://halakhah.com/berakoth/berakoth_35.html"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halakhah.com/berakoth/berakoth_35.html" TargetMode="External"/><Relationship Id="rId11" Type="http://schemas.openxmlformats.org/officeDocument/2006/relationships/hyperlink" Target="https://halakhah.com/berakoth/berakoth_35.html" TargetMode="External"/><Relationship Id="rId12" Type="http://schemas.openxmlformats.org/officeDocument/2006/relationships/hyperlink" Target="https://halakhah.com/berakoth/berakoth_35.html" TargetMode="External"/><Relationship Id="rId13" Type="http://schemas.openxmlformats.org/officeDocument/2006/relationships/hyperlink" Target="https://halakhah.com/berakoth/berakoth_35.html" TargetMode="External"/><Relationship Id="rId14" Type="http://schemas.openxmlformats.org/officeDocument/2006/relationships/hyperlink" Target="https://halakhah.com/berakoth/berakoth_35.html" TargetMode="External"/><Relationship Id="rId15" Type="http://schemas.openxmlformats.org/officeDocument/2006/relationships/hyperlink" Target="https://halakhah.com/berakoth/berakoth_35.html" TargetMode="External"/><Relationship Id="rId16" Type="http://schemas.openxmlformats.org/officeDocument/2006/relationships/hyperlink" Target="https://halakhah.com/berakoth/berakoth_35.html" TargetMode="External"/><Relationship Id="rId17" Type="http://schemas.openxmlformats.org/officeDocument/2006/relationships/hyperlink" Target="https://halakhah.com/berakoth/berakoth_35.html" TargetMode="External"/><Relationship Id="rId18" Type="http://schemas.openxmlformats.org/officeDocument/2006/relationships/hyperlink" Target="https://halakhah.com/berakoth/berakoth_35.html" TargetMode="External"/><Relationship Id="rId19" Type="http://schemas.openxmlformats.org/officeDocument/2006/relationships/hyperlink" Target="https://halakhah.com/berakoth/berakoth_35.htm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halakhah.com/berakoth/berakoth_35.html" TargetMode="External"/><Relationship Id="rId5" Type="http://schemas.openxmlformats.org/officeDocument/2006/relationships/hyperlink" Target="https://halakhah.com/berakoth/berakoth_35.html" TargetMode="External"/><Relationship Id="rId6" Type="http://schemas.openxmlformats.org/officeDocument/2006/relationships/hyperlink" Target="https://halakhah.com/berakoth/berakoth_35.html" TargetMode="External"/><Relationship Id="rId7" Type="http://schemas.openxmlformats.org/officeDocument/2006/relationships/hyperlink" Target="https://halakhah.com/berakoth/berakoth_35.html" TargetMode="External"/><Relationship Id="rId8" Type="http://schemas.openxmlformats.org/officeDocument/2006/relationships/hyperlink" Target="https://halakhah.com/berakoth/berakoth_3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973</Words>
  <Characters>5550</Characters>
  <Application>Microsoft Macintosh Word</Application>
  <DocSecurity>0</DocSecurity>
  <Lines>46</Lines>
  <Paragraphs>11</Paragraphs>
  <ScaleCrop>false</ScaleCrop>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cp:lastModifiedBy>Richard</cp:lastModifiedBy>
  <cp:revision>1</cp:revision>
  <dcterms:created xsi:type="dcterms:W3CDTF">2018-02-01T00:52:00Z</dcterms:created>
  <dcterms:modified xsi:type="dcterms:W3CDTF">2018-02-01T00:55:00Z</dcterms:modified>
</cp:coreProperties>
</file>